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FA3A3"/>
          <w:spacing w:val="60"/>
          <w:sz w:val="16"/>
          <w:szCs w:val="16"/>
        </w:rPr>
        <w:t xml:space="preserve">GTM OPERATOR  ·  THE PLAYBOOK</w:t>
      </w:r>
    </w:p>
    <w:p>
      <w:pPr>
        <w:pBdr>
          <w:bottom w:val="single" w:color="E1107D" w:sz="18" w:space="8"/>
        </w:pBdr>
        <w:spacing w:after="60"/>
      </w:pPr>
      <w:r>
        <w:rPr>
          <w:b/>
          <w:bCs/>
          <w:color w:val="101013"/>
          <w:sz w:val="44"/>
          <w:szCs w:val="44"/>
        </w:rPr>
        <w:t xml:space="preserve">The Three Campaign Engines OS</w:t>
      </w:r>
    </w:p>
    <w:p>
      <w:pPr>
        <w:spacing w:after="120"/>
      </w:pPr>
      <w:r>
        <w:rPr>
          <w:color w:val="5A5E66"/>
          <w:sz w:val="22"/>
          <w:szCs w:val="22"/>
        </w:rPr>
        <w:t xml:space="preserve">A Notion operating system for running a SaaS campaign plan on three engines with different jobs. One campaign type can’t carry a growth plan. This system makes sure all three engines fire — and that brand, GEO, and AI layer across all of them instead of becoming a fourth engine nobody owns.</w:t>
      </w:r>
    </w:p>
    <w:p>
      <w:pPr>
        <w:spacing w:after="120"/>
      </w:pPr>
      <w:r>
        <w:rPr>
          <w:color w:val="5A5E66"/>
          <w:sz w:val="22"/>
          <w:szCs w:val="22"/>
        </w:rPr>
        <w:t xml:space="preserve">Built from James Gilbert’s Three Campaign Engines framework.</w:t>
      </w:r>
    </w:p>
    <w:p>
      <w:pPr>
        <w:spacing w:after="120"/>
      </w:pPr>
      <w:r>
        <w:rPr>
          <w:b/>
          <w:bCs/>
          <w:color w:val="101013"/>
          <w:sz w:val="22"/>
          <w:szCs w:val="22"/>
        </w:rPr>
        <w:t xml:space="preserve">How to use this file: </w:t>
      </w:r>
      <w:r>
        <w:rPr>
          <w:color w:val="101013"/>
          <w:sz w:val="22"/>
          <w:szCs w:val="22"/>
        </w:rPr>
        <w:t xml:space="preserve">create the database and properties below in Notion, add the views, then paste in the starter pages. Publish as a duplicate-able template.</w:t>
      </w:r>
    </w:p>
    <w:p>
      <w:pPr>
        <w:pBdr>
          <w:bottom w:val="single" w:color="D9DBDF" w:sz="8" w:space="1"/>
        </w:pBdr>
        <w:spacing w:after="160" w:before="160"/>
      </w:pPr>
      <w:r>
        <w:t xml:space="preserve"/>
      </w:r>
    </w:p>
    <w:p>
      <w:pPr>
        <w:pStyle w:val="Heading2"/>
        <w:spacing w:after="140" w:before="320"/>
      </w:pPr>
      <w:r>
        <w:rPr>
          <w:b/>
          <w:bCs/>
          <w:color w:val="0FA3A3"/>
        </w:rPr>
        <w:t xml:space="preserve">1  </w:t>
      </w:r>
      <w:r>
        <w:rPr>
          <w:b/>
          <w:bCs/>
          <w:color w:val="101013"/>
        </w:rPr>
        <w:t xml:space="preserve">The three engines</w:t>
      </w:r>
    </w:p>
    <w:p>
      <w:pPr>
        <w:spacing w:after="120"/>
      </w:pPr>
      <w:r>
        <w:rPr>
          <w:i/>
          <w:iCs/>
          <w:color w:val="5A5E66"/>
          <w:sz w:val="20"/>
          <w:szCs w:val="20"/>
        </w:rPr>
        <w:t xml:space="preserve">Paste this on the OS home page.</w:t>
      </w:r>
    </w:p>
    <w:p>
      <w:pPr>
        <w:spacing w:after="120"/>
      </w:pPr>
      <w:r>
        <w:rPr>
          <w:b/>
          <w:bCs/>
          <w:color w:val="101013"/>
          <w:sz w:val="22"/>
          <w:szCs w:val="22"/>
        </w:rPr>
        <w:t xml:space="preserve">Channel / Lifecycle — the always-on engine.</w:t>
      </w:r>
      <w:r>
        <w:rPr>
          <w:color w:val="101013"/>
          <w:sz w:val="22"/>
          <w:szCs w:val="22"/>
        </w:rPr>
        <w:t xml:space="preserve"> Paid, organic, nurture, and lifecycle motion that never stops running. Its job is coverage and consistency. It is never “done” — it gets tuned.</w:t>
      </w:r>
    </w:p>
    <w:p>
      <w:pPr>
        <w:spacing w:after="120"/>
      </w:pPr>
      <w:r>
        <w:rPr>
          <w:b/>
          <w:bCs/>
          <w:color w:val="101013"/>
          <w:sz w:val="22"/>
          <w:szCs w:val="22"/>
        </w:rPr>
        <w:t xml:space="preserve">Episodic — the memory engine.</w:t>
      </w:r>
      <w:r>
        <w:rPr>
          <w:color w:val="101013"/>
          <w:sz w:val="22"/>
          <w:szCs w:val="22"/>
        </w:rPr>
        <w:t xml:space="preserve"> Themed creative moments and big ideas that make the market feel something. The Banklorette. The coffee-truck hijack. Its job is to create flashbulb memories the market can’t forget. Two to four per year, done loudly, beats twelve done quietly.</w:t>
      </w:r>
    </w:p>
    <w:p>
      <w:pPr>
        <w:spacing w:after="120"/>
      </w:pPr>
      <w:r>
        <w:rPr>
          <w:b/>
          <w:bCs/>
          <w:color w:val="101013"/>
          <w:sz w:val="22"/>
          <w:szCs w:val="22"/>
        </w:rPr>
        <w:t xml:space="preserve">GTM — the pursuit engine.</w:t>
      </w:r>
      <w:r>
        <w:rPr>
          <w:color w:val="101013"/>
          <w:sz w:val="22"/>
          <w:szCs w:val="22"/>
        </w:rPr>
        <w:t xml:space="preserve"> Targeted pursuit of a mapped TAM: ABM waves aligned with Sales and BDR, segment by segment. Its job is to put the right accounts in motion on purpose, not wait for them.</w:t>
      </w:r>
    </w:p>
    <w:p>
      <w:pPr>
        <w:spacing w:after="120"/>
      </w:pPr>
      <w:r>
        <w:rPr>
          <w:b/>
          <w:bCs/>
          <w:color w:val="E1107D"/>
          <w:sz w:val="22"/>
          <w:szCs w:val="22"/>
        </w:rPr>
        <w:t xml:space="preserve">The rule: </w:t>
      </w:r>
      <w:r>
        <w:rPr>
          <w:color w:val="101013"/>
          <w:sz w:val="22"/>
          <w:szCs w:val="22"/>
        </w:rPr>
        <w:t xml:space="preserve">brand investment, GEO strategy, and AI agents are layers across all three engines — not a fourth engine. Every campaign card carries them.</w:t>
      </w:r>
    </w:p>
    <w:p>
      <w:pPr>
        <w:pStyle w:val="Heading2"/>
        <w:spacing w:after="140" w:before="320"/>
      </w:pPr>
      <w:r>
        <w:rPr>
          <w:b/>
          <w:bCs/>
          <w:color w:val="0FA3A3"/>
        </w:rPr>
        <w:t xml:space="preserve">2  </w:t>
      </w:r>
      <w:r>
        <w:rPr>
          <w:b/>
          <w:bCs/>
          <w:color w:val="101013"/>
        </w:rPr>
        <w:t xml:space="preserve">Campaign database</w:t>
      </w:r>
    </w:p>
    <w:p>
      <w:pPr>
        <w:spacing w:after="120"/>
      </w:pPr>
      <w:r>
        <w:rPr>
          <w:sz w:val="22"/>
          <w:szCs w:val="22"/>
        </w:rPr>
        <w:t xml:space="preserve">Create a database called </w:t>
      </w:r>
      <w:r>
        <w:rPr>
          <w:b/>
          <w:bCs/>
          <w:sz w:val="22"/>
          <w:szCs w:val="22"/>
        </w:rPr>
        <w:t xml:space="preserve">Campaigns</w:t>
      </w:r>
      <w:r>
        <w:rPr>
          <w:sz w:val="22"/>
          <w:szCs w:val="22"/>
        </w:rPr>
        <w:t xml:space="preserve"> with these properties: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500"/>
        <w:gridCol w:w="5960"/>
      </w:tblGrid>
      <w:tr>
        <w:trPr>
          <w:tblHeader/>
        </w:trP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shd w:fill="E1107D" w:val="clear"/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Property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shd w:fill="DDF0F0" w:val="clear"/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Type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shd w:fill="DDF0F0" w:val="clear"/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Options · notes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Name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Title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The campaign name. Make it sayable out loud.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Engine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Select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Channel/Lifecycle · Episodic · GTM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Status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Select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Idea · Planned · In production · Live · Wrapped · Post-mortem done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Owner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Person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One owner. Not a team.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Launch date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Date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When it goes live. Use a date range for always-on and multi-week campaigns (start → end).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End date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Date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Leave empty for always-on Channel/Lifecycle programs.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Memory moment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Text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One sentence: what should the market remember? If you can’t write it, the campaign is a task, not a campaign. Required for Episodic; aspirational for the rest.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Channels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Multi-select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Paid search · Paid social · Organic social · Email/nurture · Events · Partnerships · Outbound/BDR · PR · Video/YouTube · Community · Web/GEO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Goal metric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Text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The one number this campaign moves, and the target. E.g. “120 MQAs from segment A” or “30% lift in branded search.”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Result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Text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Filled at wrap: the number, vs the goal.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Quarter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Select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Q1 · Q2 · Q3 · Q4 — for grouping the calendar and the retro.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GEO layer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Checkbox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Does this campaign produce something AI engines can cite (research, definitions, community proof)?</w:t>
            </w:r>
          </w:p>
        </w:tc>
      </w:tr>
      <w:tr>
        <w:tc>
          <w:tcPr>
            <w:tcW w:type="dxa" w:w="19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101013"/>
                <w:sz w:val="19"/>
                <w:szCs w:val="19"/>
              </w:rPr>
              <w:t xml:space="preserve">AI assist</w:t>
            </w:r>
          </w:p>
        </w:tc>
        <w:tc>
          <w:tcPr>
            <w:tcW w:type="dxa" w:w="150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5A5E66"/>
                <w:sz w:val="19"/>
                <w:szCs w:val="19"/>
              </w:rPr>
              <w:t xml:space="preserve">Text</w:t>
            </w:r>
          </w:p>
        </w:tc>
        <w:tc>
          <w:tcPr>
            <w:tcW w:type="dxa" w:w="5960"/>
            <w:tcBorders>
              <w:top w:val="single" w:color="D9DBDF" w:sz="1"/>
              <w:left w:val="single" w:color="D9DBDF" w:sz="1"/>
              <w:bottom w:val="single" w:color="D9DBDF" w:sz="1"/>
              <w:right w:val="single" w:color="D9DBDF" w:sz="1"/>
            </w:tcBorders>
            <w:tcMar>
              <w:top w:type="dxa" w:w="70"/>
              <w:left w:type="dxa" w:w="120"/>
              <w:bottom w:type="dxa" w:w="70"/>
              <w:right w:type="dxa" w:w="110"/>
            </w:tcMar>
            <w:vAlign w:val="center"/>
          </w:tcPr>
          <w:p>
            <w:r>
              <w:rPr>
                <w:color w:val="101013"/>
                <w:sz w:val="19"/>
                <w:szCs w:val="19"/>
              </w:rPr>
              <w:t xml:space="preserve">Which parts agents handle: drafting, segmenting, personalization, reporting.</w:t>
            </w:r>
          </w:p>
        </w:tc>
      </w:tr>
    </w:tbl>
    <w:p>
      <w:pPr>
        <w:pStyle w:val="Heading2"/>
        <w:spacing w:after="140" w:before="320"/>
      </w:pPr>
      <w:r>
        <w:rPr>
          <w:b/>
          <w:bCs/>
          <w:color w:val="0FA3A3"/>
        </w:rPr>
        <w:t xml:space="preserve">3  </w:t>
      </w:r>
      <w:r>
        <w:rPr>
          <w:b/>
          <w:bCs/>
          <w:color w:val="101013"/>
        </w:rPr>
        <w:t xml:space="preserve">Views</w:t>
      </w:r>
    </w:p>
    <w:p>
      <w:pPr>
        <w:spacing w:after="120"/>
      </w:pPr>
      <w:r>
        <w:rPr>
          <w:sz w:val="22"/>
          <w:szCs w:val="22"/>
        </w:rPr>
        <w:t xml:space="preserve">Create these four views on the Campaigns database: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1. Quarterly calendar (the default view)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Type: Calendar, by Launch date. Filter: Quarter = current quarter.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The swim-lane view of the quarter — open it weekly in the GTM meeting.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2. Engine board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Type: Board, grouped by Engine. Sort: Launch date ascending.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Shows balance at a glance. An empty lane means the plan is leaning on one engine — that’s the warning light.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3. Status pipeline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Type: Board, grouped by Status. The production view: Idea → Post-mortem done, left to right.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4. Wrapped, no post-mortem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Type: Table. Filter: Status = Wrapped.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01013"/>
          <w:sz w:val="22"/>
          <w:szCs w:val="22"/>
        </w:rPr>
        <w:t xml:space="preserve">This view should be empty. Anything sitting here is a campaign you paid for and didn’t learn from.</w:t>
      </w:r>
    </w:p>
    <w:p>
      <w:pPr>
        <w:pStyle w:val="Heading2"/>
        <w:spacing w:after="140" w:before="320"/>
      </w:pPr>
      <w:r>
        <w:rPr>
          <w:b/>
          <w:bCs/>
          <w:color w:val="0FA3A3"/>
        </w:rPr>
        <w:t xml:space="preserve">4  </w:t>
      </w:r>
      <w:r>
        <w:rPr>
          <w:b/>
          <w:bCs/>
          <w:color w:val="101013"/>
        </w:rPr>
        <w:t xml:space="preserve">Starter campaign cards</w:t>
      </w:r>
    </w:p>
    <w:p>
      <w:pPr>
        <w:spacing w:after="120"/>
      </w:pPr>
      <w:r>
        <w:rPr>
          <w:sz w:val="22"/>
          <w:szCs w:val="22"/>
        </w:rPr>
        <w:t xml:space="preserve">Paste these as the first three entries so the template doesn’t open empty — one per engine.</w:t>
      </w:r>
    </w:p>
    <w:p>
      <w:pPr>
        <w:spacing w:after="40" w:before="140"/>
      </w:pPr>
      <w:r>
        <w:rPr>
          <w:b/>
          <w:bCs/>
          <w:color w:val="101013"/>
          <w:sz w:val="22"/>
          <w:szCs w:val="22"/>
        </w:rPr>
        <w:t xml:space="preserve">Nurture: lifecycle sequences, rebuilt</w:t>
      </w:r>
      <w:r>
        <w:rPr>
          <w:b/>
          <w:bCs/>
          <w:color w:val="0FA3A3"/>
          <w:sz w:val="18"/>
          <w:szCs w:val="18"/>
        </w:rPr>
        <w:t xml:space="preserve">   ·   Channel/Lifecycle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Status: </w:t>
      </w:r>
      <w:r>
        <w:rPr>
          <w:color w:val="101013"/>
          <w:sz w:val="21"/>
          <w:szCs w:val="21"/>
        </w:rPr>
        <w:t xml:space="preserve">Live · launch at quarter start, no end date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Memory moment: </w:t>
      </w:r>
      <w:r>
        <w:rPr>
          <w:color w:val="101013"/>
          <w:sz w:val="21"/>
          <w:szCs w:val="21"/>
        </w:rPr>
        <w:t xml:space="preserve">“Their emails are the only vendor emails I actually open.”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Channels: </w:t>
      </w:r>
      <w:r>
        <w:rPr>
          <w:color w:val="101013"/>
          <w:sz w:val="21"/>
          <w:szCs w:val="21"/>
        </w:rPr>
        <w:t xml:space="preserve">Email/nurture, Web/GEO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Goal metric: </w:t>
      </w:r>
      <w:r>
        <w:rPr>
          <w:color w:val="101013"/>
          <w:sz w:val="21"/>
          <w:szCs w:val="21"/>
        </w:rPr>
        <w:t xml:space="preserve">Email conversion rate, current → target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GEO layer: </w:t>
      </w:r>
      <w:r>
        <w:rPr>
          <w:color w:val="101013"/>
          <w:sz w:val="21"/>
          <w:szCs w:val="21"/>
        </w:rPr>
        <w:t xml:space="preserve">✓ — each sequence links one citable asset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AI assist: </w:t>
      </w:r>
      <w:r>
        <w:rPr>
          <w:color w:val="101013"/>
          <w:sz w:val="21"/>
          <w:szCs w:val="21"/>
        </w:rPr>
        <w:t xml:space="preserve">draft variants, branch logic, send-time</w:t>
      </w:r>
    </w:p>
    <w:p>
      <w:pPr>
        <w:spacing w:after="40" w:before="140"/>
      </w:pPr>
      <w:r>
        <w:rPr>
          <w:b/>
          <w:bCs/>
          <w:color w:val="101013"/>
          <w:sz w:val="22"/>
          <w:szCs w:val="22"/>
        </w:rPr>
        <w:t xml:space="preserve">[Your big idea] — the quarterly moment</w:t>
      </w:r>
      <w:r>
        <w:rPr>
          <w:b/>
          <w:bCs/>
          <w:color w:val="0FA3A3"/>
          <w:sz w:val="18"/>
          <w:szCs w:val="18"/>
        </w:rPr>
        <w:t xml:space="preserve">   ·   Episodic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Status: </w:t>
      </w:r>
      <w:r>
        <w:rPr>
          <w:color w:val="101013"/>
          <w:sz w:val="21"/>
          <w:szCs w:val="21"/>
        </w:rPr>
        <w:t xml:space="preserve">Planned · launch mid-quarter, 3-week range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Memory moment: </w:t>
      </w:r>
      <w:r>
        <w:rPr>
          <w:color w:val="101013"/>
          <w:sz w:val="21"/>
          <w:szCs w:val="21"/>
        </w:rPr>
        <w:t xml:space="preserve">write the one sentence first — this card doesn’t move to “In production” without it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Channels: </w:t>
      </w:r>
      <w:r>
        <w:rPr>
          <w:color w:val="101013"/>
          <w:sz w:val="21"/>
          <w:szCs w:val="21"/>
        </w:rPr>
        <w:t xml:space="preserve">Organic social, Video/YouTube, PR, Events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Goal metric: </w:t>
      </w:r>
      <w:r>
        <w:rPr>
          <w:color w:val="101013"/>
          <w:sz w:val="21"/>
          <w:szCs w:val="21"/>
        </w:rPr>
        <w:t xml:space="preserve">branded search lift / share-of-voice during the window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GEO layer: </w:t>
      </w:r>
      <w:r>
        <w:rPr>
          <w:color w:val="101013"/>
          <w:sz w:val="21"/>
          <w:szCs w:val="21"/>
        </w:rPr>
        <w:t xml:space="preserve">✓ — the moment should earn third-party mentions (GEO fuel)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AI assist: </w:t>
      </w:r>
      <w:r>
        <w:rPr>
          <w:color w:val="101013"/>
          <w:sz w:val="21"/>
          <w:szCs w:val="21"/>
        </w:rPr>
        <w:t xml:space="preserve">creative variations, clip cutting, distribution</w:t>
      </w:r>
    </w:p>
    <w:p>
      <w:pPr>
        <w:spacing w:after="40" w:before="140"/>
      </w:pPr>
      <w:r>
        <w:rPr>
          <w:b/>
          <w:bCs/>
          <w:color w:val="101013"/>
          <w:sz w:val="22"/>
          <w:szCs w:val="22"/>
        </w:rPr>
        <w:t xml:space="preserve">ABM wave: segment A (top 50 accounts)</w:t>
      </w:r>
      <w:r>
        <w:rPr>
          <w:b/>
          <w:bCs/>
          <w:color w:val="0FA3A3"/>
          <w:sz w:val="18"/>
          <w:szCs w:val="18"/>
        </w:rPr>
        <w:t xml:space="preserve">   ·   GTM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Status: </w:t>
      </w:r>
      <w:r>
        <w:rPr>
          <w:color w:val="101013"/>
          <w:sz w:val="21"/>
          <w:szCs w:val="21"/>
        </w:rPr>
        <w:t xml:space="preserve">Planned · launch week 2, 5-week range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Memory moment: </w:t>
      </w:r>
      <w:r>
        <w:rPr>
          <w:color w:val="101013"/>
          <w:sz w:val="21"/>
          <w:szCs w:val="21"/>
        </w:rPr>
        <w:t xml:space="preserve">“They clearly built this for companies exactly like us.”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Channels: </w:t>
      </w:r>
      <w:r>
        <w:rPr>
          <w:color w:val="101013"/>
          <w:sz w:val="21"/>
          <w:szCs w:val="21"/>
        </w:rPr>
        <w:t xml:space="preserve">Outbound/BDR, Paid social, Email/nurture, Partnerships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Goal metric: </w:t>
      </w:r>
      <w:r>
        <w:rPr>
          <w:color w:val="101013"/>
          <w:sz w:val="21"/>
          <w:szCs w:val="21"/>
        </w:rPr>
        <w:t xml:space="preserve">meetings booked with segment-A accounts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GEO layer: </w:t>
      </w:r>
      <w:r>
        <w:rPr>
          <w:color w:val="101013"/>
          <w:sz w:val="21"/>
          <w:szCs w:val="21"/>
        </w:rPr>
        <w:t xml:space="preserve">optional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101013"/>
          <w:sz w:val="21"/>
          <w:szCs w:val="21"/>
        </w:rPr>
        <w:t xml:space="preserve">AI assist: </w:t>
      </w:r>
      <w:r>
        <w:rPr>
          <w:color w:val="101013"/>
          <w:sz w:val="21"/>
          <w:szCs w:val="21"/>
        </w:rPr>
        <w:t xml:space="preserve">account prioritization, 1:1 personalization, intent triage</w:t>
      </w:r>
    </w:p>
    <w:p>
      <w:pPr>
        <w:pStyle w:val="Heading2"/>
        <w:spacing w:after="140" w:before="320"/>
      </w:pPr>
      <w:r>
        <w:rPr>
          <w:b/>
          <w:bCs/>
          <w:color w:val="0FA3A3"/>
        </w:rPr>
        <w:t xml:space="preserve">5  </w:t>
      </w:r>
      <w:r>
        <w:rPr>
          <w:b/>
          <w:bCs/>
          <w:color w:val="101013"/>
        </w:rPr>
        <w:t xml:space="preserve">Post-mortem template</w:t>
      </w:r>
    </w:p>
    <w:p>
      <w:pPr>
        <w:spacing w:after="120"/>
      </w:pPr>
      <w:r>
        <w:rPr>
          <w:sz w:val="22"/>
          <w:szCs w:val="22"/>
        </w:rPr>
        <w:t xml:space="preserve">Create a Notion page template on the Campaigns database called </w:t>
      </w:r>
      <w:r>
        <w:rPr>
          <w:b/>
          <w:bCs/>
          <w:sz w:val="22"/>
          <w:szCs w:val="22"/>
        </w:rPr>
        <w:t xml:space="preserve">Post-mortem</w:t>
      </w:r>
      <w:r>
        <w:rPr>
          <w:sz w:val="22"/>
          <w:szCs w:val="22"/>
        </w:rPr>
        <w:t xml:space="preserve"> with these sections: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What shipped</w:t>
      </w:r>
    </w:p>
    <w:p>
      <w:pPr>
        <w:spacing w:after="120"/>
      </w:pPr>
      <w:r>
        <w:rPr>
          <w:color w:val="101013"/>
          <w:sz w:val="22"/>
          <w:szCs w:val="22"/>
        </w:rPr>
        <w:t xml:space="preserve">One paragraph. What actually went out, where, when. Links to the work.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The number</w:t>
      </w:r>
    </w:p>
    <w:p>
      <w:pPr>
        <w:spacing w:after="120"/>
      </w:pPr>
      <w:r>
        <w:rPr>
          <w:color w:val="101013"/>
          <w:sz w:val="22"/>
          <w:szCs w:val="22"/>
        </w:rPr>
        <w:t xml:space="preserve">Goal metric vs. actual. No narrative yet — just the number and the gap.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What made it memorable (or didn’t)</w:t>
      </w:r>
    </w:p>
    <w:p>
      <w:pPr>
        <w:spacing w:after="120"/>
      </w:pPr>
      <w:r>
        <w:rPr>
          <w:color w:val="101013"/>
          <w:sz w:val="22"/>
          <w:szCs w:val="22"/>
        </w:rPr>
        <w:t xml:space="preserve">Did the memory moment land? Evidence: replies, mentions, screenshots, anecdotes. If nothing was memorable, say so plainly — that is a finding.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What compounds</w:t>
      </w:r>
    </w:p>
    <w:p>
      <w:pPr>
        <w:spacing w:after="120"/>
      </w:pPr>
      <w:r>
        <w:rPr>
          <w:color w:val="101013"/>
          <w:sz w:val="22"/>
          <w:szCs w:val="22"/>
        </w:rPr>
        <w:t xml:space="preserve">What from this campaign feeds the next one? Assets to reuse, audiences built, lists warmed, lessons that change the playbook. A campaign that leaves nothing behind was rented, not built.</w:t>
      </w:r>
    </w:p>
    <w:p>
      <w:pPr>
        <w:spacing w:after="60" w:before="160"/>
      </w:pPr>
      <w:r>
        <w:rPr>
          <w:b/>
          <w:bCs/>
          <w:color w:val="E1107D"/>
          <w:sz w:val="21"/>
          <w:szCs w:val="21"/>
        </w:rPr>
        <w:t xml:space="preserve">Keep / kill / scale</w:t>
      </w:r>
    </w:p>
    <w:p>
      <w:pPr>
        <w:spacing w:after="120"/>
      </w:pPr>
      <w:r>
        <w:rPr>
          <w:color w:val="101013"/>
          <w:sz w:val="22"/>
          <w:szCs w:val="22"/>
        </w:rPr>
        <w:t xml:space="preserve">One of three words, with one sentence of reasoning. Then update the experiment repository so the team never re-tests what it already learned.</w:t>
      </w:r>
    </w:p>
    <w:p>
      <w:pPr>
        <w:pStyle w:val="Heading2"/>
        <w:spacing w:after="140" w:before="320"/>
      </w:pPr>
      <w:r>
        <w:rPr>
          <w:b/>
          <w:bCs/>
          <w:color w:val="0FA3A3"/>
        </w:rPr>
        <w:t xml:space="preserve">6  </w:t>
      </w:r>
      <w:r>
        <w:rPr>
          <w:b/>
          <w:bCs/>
          <w:color w:val="101013"/>
        </w:rPr>
        <w:t xml:space="preserve">Operating rhythm</w:t>
      </w:r>
    </w:p>
    <w:p>
      <w:pPr>
        <w:spacing w:after="120"/>
      </w:pPr>
      <w:r>
        <w:rPr>
          <w:i/>
          <w:iCs/>
          <w:color w:val="5A5E66"/>
          <w:sz w:val="20"/>
          <w:szCs w:val="20"/>
        </w:rPr>
        <w:t xml:space="preserve">Paste on the OS home page.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Weekly: </w:t>
      </w:r>
      <w:r>
        <w:rPr>
          <w:sz w:val="22"/>
          <w:szCs w:val="22"/>
        </w:rPr>
        <w:t xml:space="preserve">open the Quarterly calendar in the GTM meeting. Anything Live gets 60 seconds: pacing vs. goal.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Per wrap: </w:t>
      </w:r>
      <w:r>
        <w:rPr>
          <w:sz w:val="22"/>
          <w:szCs w:val="22"/>
        </w:rPr>
        <w:t xml:space="preserve">post-mortem within 5 business days. The “Wrapped, no post-mortem” view stays empty.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Quarterly: </w:t>
      </w:r>
      <w:r>
        <w:rPr>
          <w:sz w:val="22"/>
          <w:szCs w:val="22"/>
        </w:rPr>
        <w:t xml:space="preserve">rebalance the engines. Look at the Engine board: if next quarter’s plan has an empty lane, fix the plan, not the slide.</w:t>
      </w:r>
    </w:p>
    <w:p>
      <w:pPr>
        <w:pBdr>
          <w:bottom w:val="single" w:color="D9DBDF" w:sz="8" w:space="1"/>
        </w:pBdr>
        <w:spacing w:after="160" w:before="160"/>
      </w:pPr>
      <w:r>
        <w:t xml:space="preserve"/>
      </w:r>
    </w:p>
    <w:p>
      <w:r>
        <w:rPr>
          <w:color w:val="5A5E66"/>
          <w:sz w:val="20"/>
          <w:szCs w:val="20"/>
        </w:rPr>
        <w:t xml:space="preserve">Template by James Gilbert — </w:t>
      </w:r>
      <w:hyperlink w:history="1" r:id="rIdswuhhfiib9y8dp6hrviuh">
        <w:r>
          <w:rPr>
            <w:rStyle w:val="Hyperlink"/>
            <w:sz w:val="22"/>
            <w:szCs w:val="22"/>
          </w:rPr>
          <w:t xml:space="preserve">gtmoperator.org</w:t>
        </w:r>
      </w:hyperlink>
      <w:r>
        <w:rPr>
          <w:color w:val="5A5E66"/>
          <w:sz w:val="20"/>
          <w:szCs w:val="20"/>
        </w:rPr>
        <w:t xml:space="preserve">. Duplicate freely.</w:t>
      </w:r>
    </w:p>
    <w:sectPr>
      <w:footerReference w:type="default" r:id="rId7"/>
      <w:pgSz w:w="12240" w:h="15840" w:orient="portrait"/>
      <w:pgMar w:top="1296" w:right="1440" w:bottom="1296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BDF" w:sz="4" w:space="6"/>
      </w:pBdr>
      <w:tabs>
        <w:tab w:val="right" w:pos="9360"/>
      </w:tabs>
    </w:pPr>
    <w:r>
      <w:rPr>
        <w:b/>
        <w:bCs/>
        <w:color w:val="E1107D"/>
        <w:spacing w:val="40"/>
        <w:sz w:val="16"/>
        <w:szCs w:val="16"/>
      </w:rPr>
      <w:t xml:space="preserve">GTM OPERATOR</w:t>
    </w:r>
    <w:r>
      <w:rPr>
        <w:color w:val="5A5E66"/>
        <w:sz w:val="16"/>
        <w:szCs w:val="16"/>
      </w:rPr>
      <w:t xml:space="preserve">  ·  gtmoperator.org</w:t>
    </w:r>
    <w:r>
      <w:rPr>
        <w:sz w:val="16"/>
        <w:szCs w:val="16"/>
      </w:rPr>
      <w:t xml:space="preserve">	</w:t>
    </w:r>
    <w:r>
      <w:rPr>
        <w:color w:val="5A5E66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0101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40" w:before="240"/>
      <w:outlineLvl w:val="1"/>
    </w:pPr>
    <w:rPr>
      <w:rFonts w:ascii="Arial" w:cs="Arial" w:eastAsia="Arial" w:hAnsi="Arial"/>
      <w:b/>
      <w:bCs/>
      <w:color w:val="10101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swuhhfiib9y8dp6hrviuh" Type="http://schemas.openxmlformats.org/officeDocument/2006/relationships/hyperlink" Target="https://gtmoperator.org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Campaign Engines OS</dc:title>
  <dc:creator>GTM Operator</dc:creator>
  <cp:lastModifiedBy>Un-named</cp:lastModifiedBy>
  <cp:revision>1</cp:revision>
  <dcterms:created xsi:type="dcterms:W3CDTF">2026-06-16T20:28:40.618Z</dcterms:created>
  <dcterms:modified xsi:type="dcterms:W3CDTF">2026-06-16T20:28:40.623Z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